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0CD" w:rsidRPr="005C50CD" w:rsidRDefault="005C50CD" w:rsidP="005C50CD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 w:rsidRPr="005C50CD">
        <w:rPr>
          <w:b/>
          <w:sz w:val="28"/>
          <w:szCs w:val="28"/>
        </w:rPr>
        <w:t>Missouri State University</w:t>
      </w:r>
      <w:r w:rsidR="00663CD8">
        <w:rPr>
          <w:b/>
          <w:sz w:val="28"/>
          <w:szCs w:val="28"/>
        </w:rPr>
        <w:t xml:space="preserve"> Division of</w:t>
      </w:r>
      <w:r w:rsidRPr="005C50CD">
        <w:rPr>
          <w:b/>
          <w:sz w:val="28"/>
          <w:szCs w:val="28"/>
        </w:rPr>
        <w:t xml:space="preserve"> Student Affairs </w:t>
      </w:r>
    </w:p>
    <w:p w:rsidR="005C50CD" w:rsidRDefault="005C50CD" w:rsidP="005C50CD">
      <w:pPr>
        <w:pStyle w:val="NoSpacing"/>
        <w:jc w:val="center"/>
        <w:rPr>
          <w:b/>
          <w:sz w:val="28"/>
          <w:szCs w:val="28"/>
        </w:rPr>
      </w:pPr>
      <w:r w:rsidRPr="005C50CD">
        <w:rPr>
          <w:b/>
          <w:sz w:val="28"/>
          <w:szCs w:val="28"/>
        </w:rPr>
        <w:t>Commitment to Student Learning</w:t>
      </w:r>
      <w:r w:rsidR="00415D4F">
        <w:rPr>
          <w:b/>
          <w:sz w:val="28"/>
          <w:szCs w:val="28"/>
        </w:rPr>
        <w:t>,</w:t>
      </w:r>
      <w:r w:rsidRPr="005C50CD">
        <w:rPr>
          <w:b/>
          <w:sz w:val="28"/>
          <w:szCs w:val="28"/>
        </w:rPr>
        <w:t xml:space="preserve"> Quality Services</w:t>
      </w:r>
      <w:r w:rsidR="00415D4F">
        <w:rPr>
          <w:b/>
          <w:sz w:val="28"/>
          <w:szCs w:val="28"/>
        </w:rPr>
        <w:t xml:space="preserve"> and Assessment</w:t>
      </w:r>
    </w:p>
    <w:p w:rsidR="005C50CD" w:rsidRDefault="005C50CD" w:rsidP="005C50CD">
      <w:pPr>
        <w:pStyle w:val="NoSpacing"/>
        <w:jc w:val="center"/>
      </w:pPr>
    </w:p>
    <w:p w:rsidR="004F6E47" w:rsidRDefault="005C50CD" w:rsidP="005C50CD">
      <w:pPr>
        <w:pStyle w:val="NoSpacing"/>
      </w:pPr>
      <w:r>
        <w:t>The individual departments and staff members of the Division of Student Affairs are dedicated to actively supporting the University Public Affairs Mission, the</w:t>
      </w:r>
      <w:r w:rsidR="004F6E47">
        <w:t xml:space="preserve"> objectives of the</w:t>
      </w:r>
      <w:r>
        <w:t xml:space="preserve"> 2011 – 2016 Long Range Plan </w:t>
      </w:r>
      <w:r w:rsidR="004F6E47">
        <w:t>(</w:t>
      </w:r>
      <w:r>
        <w:t>Fulfilling Our Promise</w:t>
      </w:r>
      <w:r w:rsidR="004F6E47">
        <w:t>),</w:t>
      </w:r>
      <w:r>
        <w:t xml:space="preserve"> and the assessment goals</w:t>
      </w:r>
      <w:r w:rsidR="004F6E47">
        <w:t xml:space="preserve"> </w:t>
      </w:r>
      <w:r w:rsidR="00663CD8">
        <w:t>of</w:t>
      </w:r>
      <w:r w:rsidR="004F6E47">
        <w:t xml:space="preserve"> </w:t>
      </w:r>
      <w:r>
        <w:t>our Institutional Quality Initiative</w:t>
      </w:r>
      <w:r w:rsidR="00663CD8">
        <w:t>s</w:t>
      </w:r>
      <w:r w:rsidR="004F6E47">
        <w:t xml:space="preserve"> established for continued</w:t>
      </w:r>
      <w:r w:rsidR="00663CD8">
        <w:t xml:space="preserve"> and successful</w:t>
      </w:r>
      <w:r w:rsidR="004F6E47">
        <w:t xml:space="preserve"> accreditation by the Higher Learning Commission.</w:t>
      </w:r>
    </w:p>
    <w:p w:rsidR="004F6E47" w:rsidRDefault="004F6E47" w:rsidP="005C50CD">
      <w:pPr>
        <w:pStyle w:val="NoSpacing"/>
      </w:pPr>
    </w:p>
    <w:p w:rsidR="004F6E47" w:rsidRDefault="00663CD8" w:rsidP="005C50CD">
      <w:pPr>
        <w:pStyle w:val="NoSpacing"/>
      </w:pPr>
      <w:r>
        <w:t>O</w:t>
      </w:r>
      <w:r w:rsidR="004F6E47">
        <w:t xml:space="preserve">verarching </w:t>
      </w:r>
      <w:r w:rsidR="004F6E47" w:rsidRPr="004F6E47">
        <w:rPr>
          <w:u w:val="single"/>
        </w:rPr>
        <w:t>Learning Domains</w:t>
      </w:r>
      <w:r w:rsidR="00415D4F">
        <w:rPr>
          <w:u w:val="single"/>
        </w:rPr>
        <w:t xml:space="preserve"> (LD’s)</w:t>
      </w:r>
      <w:r w:rsidR="004F6E47">
        <w:t xml:space="preserve"> have been defined by the Division</w:t>
      </w:r>
      <w:r>
        <w:t xml:space="preserve"> of Student Affairs</w:t>
      </w:r>
      <w:r w:rsidR="00415D4F">
        <w:t xml:space="preserve"> for our units involved in student development and student learning.</w:t>
      </w:r>
      <w:r w:rsidR="004F6E47">
        <w:t xml:space="preserve"> </w:t>
      </w:r>
      <w:r w:rsidR="00415D4F">
        <w:t xml:space="preserve"> </w:t>
      </w:r>
      <w:r w:rsidR="004F6E47">
        <w:t xml:space="preserve"> </w:t>
      </w:r>
      <w:r w:rsidR="00415D4F">
        <w:t xml:space="preserve">The LD’s </w:t>
      </w:r>
      <w:r w:rsidR="004F6E47">
        <w:t xml:space="preserve">reflect the purposeful actions of the Student Affairs </w:t>
      </w:r>
      <w:r>
        <w:t>Departments.</w:t>
      </w:r>
      <w:r w:rsidR="004F6E47">
        <w:t xml:space="preserve">  The Learning Domains are:</w:t>
      </w:r>
    </w:p>
    <w:p w:rsidR="004F6E47" w:rsidRDefault="004F6E47" w:rsidP="005C50CD">
      <w:pPr>
        <w:pStyle w:val="NoSpacing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340"/>
        <w:gridCol w:w="7128"/>
      </w:tblGrid>
      <w:tr w:rsidR="00215086" w:rsidRPr="00215086" w:rsidTr="00215086">
        <w:tc>
          <w:tcPr>
            <w:tcW w:w="2340" w:type="dxa"/>
          </w:tcPr>
          <w:p w:rsidR="00215086" w:rsidRPr="00215086" w:rsidRDefault="005C50CD" w:rsidP="0007255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t xml:space="preserve"> </w:t>
            </w:r>
            <w:r w:rsidR="00215086" w:rsidRPr="00215086">
              <w:rPr>
                <w:rFonts w:asciiTheme="minorHAnsi" w:hAnsiTheme="minorHAnsi" w:cstheme="minorHAnsi"/>
                <w:sz w:val="18"/>
                <w:szCs w:val="18"/>
              </w:rPr>
              <w:t>Domain</w:t>
            </w:r>
          </w:p>
        </w:tc>
        <w:tc>
          <w:tcPr>
            <w:tcW w:w="7128" w:type="dxa"/>
          </w:tcPr>
          <w:p w:rsidR="00215086" w:rsidRPr="00215086" w:rsidRDefault="00215086" w:rsidP="0007255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15086">
              <w:rPr>
                <w:rFonts w:asciiTheme="minorHAnsi" w:hAnsiTheme="minorHAnsi" w:cstheme="minorHAnsi"/>
                <w:sz w:val="18"/>
                <w:szCs w:val="18"/>
              </w:rPr>
              <w:t>Examples of Sub-domains</w:t>
            </w:r>
          </w:p>
        </w:tc>
      </w:tr>
      <w:tr w:rsidR="00215086" w:rsidRPr="00215086" w:rsidTr="00215086">
        <w:tc>
          <w:tcPr>
            <w:tcW w:w="2340" w:type="dxa"/>
          </w:tcPr>
          <w:p w:rsidR="00215086" w:rsidRPr="00215086" w:rsidRDefault="00215086" w:rsidP="0007255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128" w:type="dxa"/>
          </w:tcPr>
          <w:p w:rsidR="00215086" w:rsidRPr="00215086" w:rsidRDefault="00215086" w:rsidP="0007255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15086" w:rsidRPr="00215086" w:rsidTr="00215086">
        <w:tc>
          <w:tcPr>
            <w:tcW w:w="2340" w:type="dxa"/>
          </w:tcPr>
          <w:p w:rsidR="00215086" w:rsidRPr="00215086" w:rsidRDefault="00215086" w:rsidP="0007255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15086">
              <w:rPr>
                <w:rFonts w:asciiTheme="minorHAnsi" w:hAnsiTheme="minorHAnsi" w:cstheme="minorHAnsi"/>
                <w:sz w:val="18"/>
                <w:szCs w:val="18"/>
              </w:rPr>
              <w:t>Educated Persons</w:t>
            </w:r>
          </w:p>
        </w:tc>
        <w:tc>
          <w:tcPr>
            <w:tcW w:w="7128" w:type="dxa"/>
          </w:tcPr>
          <w:p w:rsidR="00215086" w:rsidRPr="00215086" w:rsidRDefault="00215086" w:rsidP="0007255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15086">
              <w:rPr>
                <w:rFonts w:asciiTheme="minorHAnsi" w:hAnsiTheme="minorHAnsi" w:cstheme="minorHAnsi"/>
                <w:sz w:val="18"/>
                <w:szCs w:val="18"/>
              </w:rPr>
              <w:t>Develop skills necessary for gaining knowledge (curricular and co-curricular)</w:t>
            </w:r>
          </w:p>
          <w:p w:rsidR="00215086" w:rsidRPr="00215086" w:rsidRDefault="00215086" w:rsidP="0007255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15086">
              <w:rPr>
                <w:rFonts w:asciiTheme="minorHAnsi" w:hAnsiTheme="minorHAnsi" w:cstheme="minorHAnsi"/>
                <w:sz w:val="18"/>
                <w:szCs w:val="18"/>
              </w:rPr>
              <w:t>Apply discipline knowledge to situations inside and outside the classroom environment</w:t>
            </w:r>
          </w:p>
          <w:p w:rsidR="00215086" w:rsidRPr="00215086" w:rsidRDefault="00215086" w:rsidP="0007255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15086">
              <w:rPr>
                <w:rFonts w:asciiTheme="minorHAnsi" w:hAnsiTheme="minorHAnsi" w:cstheme="minorHAnsi"/>
                <w:sz w:val="18"/>
                <w:szCs w:val="18"/>
              </w:rPr>
              <w:t>Assess information, ideas, and arguments (critical thinking)</w:t>
            </w:r>
          </w:p>
          <w:p w:rsidR="00215086" w:rsidRPr="00215086" w:rsidRDefault="00215086" w:rsidP="0007255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15086">
              <w:rPr>
                <w:rFonts w:asciiTheme="minorHAnsi" w:hAnsiTheme="minorHAnsi" w:cstheme="minorHAnsi"/>
                <w:sz w:val="18"/>
                <w:szCs w:val="18"/>
              </w:rPr>
              <w:t>Solve problems within context</w:t>
            </w:r>
          </w:p>
          <w:p w:rsidR="00215086" w:rsidRPr="00215086" w:rsidRDefault="00215086" w:rsidP="0007255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15086">
              <w:rPr>
                <w:rFonts w:asciiTheme="minorHAnsi" w:hAnsiTheme="minorHAnsi" w:cstheme="minorHAnsi"/>
                <w:sz w:val="18"/>
                <w:szCs w:val="18"/>
              </w:rPr>
              <w:t>Integrate co-curricular experience to educational experience and vice versa</w:t>
            </w:r>
          </w:p>
        </w:tc>
      </w:tr>
      <w:tr w:rsidR="00215086" w:rsidRPr="00215086" w:rsidTr="00215086">
        <w:tc>
          <w:tcPr>
            <w:tcW w:w="2340" w:type="dxa"/>
          </w:tcPr>
          <w:p w:rsidR="00215086" w:rsidRPr="00215086" w:rsidRDefault="00215086" w:rsidP="0007255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15086">
              <w:rPr>
                <w:rFonts w:asciiTheme="minorHAnsi" w:hAnsiTheme="minorHAnsi" w:cstheme="minorHAnsi"/>
                <w:sz w:val="18"/>
                <w:szCs w:val="18"/>
              </w:rPr>
              <w:t>Communication</w:t>
            </w:r>
          </w:p>
        </w:tc>
        <w:tc>
          <w:tcPr>
            <w:tcW w:w="7128" w:type="dxa"/>
          </w:tcPr>
          <w:p w:rsidR="00215086" w:rsidRPr="00215086" w:rsidRDefault="00215086" w:rsidP="0007255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15086">
              <w:rPr>
                <w:rFonts w:asciiTheme="minorHAnsi" w:hAnsiTheme="minorHAnsi" w:cstheme="minorHAnsi"/>
                <w:sz w:val="18"/>
                <w:szCs w:val="18"/>
              </w:rPr>
              <w:t>Write, speak, and listen coherently and effectively</w:t>
            </w:r>
          </w:p>
          <w:p w:rsidR="00215086" w:rsidRPr="00215086" w:rsidRDefault="00215086" w:rsidP="0007255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15086">
              <w:rPr>
                <w:rFonts w:asciiTheme="minorHAnsi" w:hAnsiTheme="minorHAnsi" w:cstheme="minorHAnsi"/>
                <w:sz w:val="18"/>
                <w:szCs w:val="18"/>
              </w:rPr>
              <w:t>Prepare and deliver presentation(s)</w:t>
            </w:r>
          </w:p>
          <w:p w:rsidR="00215086" w:rsidRPr="00215086" w:rsidRDefault="00215086" w:rsidP="0007255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15086">
              <w:rPr>
                <w:rFonts w:asciiTheme="minorHAnsi" w:hAnsiTheme="minorHAnsi" w:cstheme="minorHAnsi"/>
                <w:sz w:val="18"/>
                <w:szCs w:val="18"/>
              </w:rPr>
              <w:t>Influence others through persuasive communication</w:t>
            </w:r>
          </w:p>
        </w:tc>
      </w:tr>
      <w:tr w:rsidR="00215086" w:rsidRPr="00215086" w:rsidTr="00215086">
        <w:tc>
          <w:tcPr>
            <w:tcW w:w="2340" w:type="dxa"/>
          </w:tcPr>
          <w:p w:rsidR="00215086" w:rsidRPr="00215086" w:rsidRDefault="00215086" w:rsidP="0007255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15086">
              <w:rPr>
                <w:rFonts w:asciiTheme="minorHAnsi" w:hAnsiTheme="minorHAnsi" w:cstheme="minorHAnsi"/>
                <w:sz w:val="18"/>
                <w:szCs w:val="18"/>
              </w:rPr>
              <w:t>Leadership Development</w:t>
            </w:r>
          </w:p>
        </w:tc>
        <w:tc>
          <w:tcPr>
            <w:tcW w:w="7128" w:type="dxa"/>
          </w:tcPr>
          <w:p w:rsidR="00215086" w:rsidRPr="00215086" w:rsidRDefault="00215086" w:rsidP="0007255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15086">
              <w:rPr>
                <w:rFonts w:asciiTheme="minorHAnsi" w:hAnsiTheme="minorHAnsi" w:cstheme="minorHAnsi"/>
                <w:sz w:val="18"/>
                <w:szCs w:val="18"/>
              </w:rPr>
              <w:t>Demonstrate ethical integrity</w:t>
            </w:r>
          </w:p>
          <w:p w:rsidR="00215086" w:rsidRPr="00215086" w:rsidRDefault="00215086" w:rsidP="0007255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15086">
              <w:rPr>
                <w:rFonts w:asciiTheme="minorHAnsi" w:hAnsiTheme="minorHAnsi" w:cstheme="minorHAnsi"/>
                <w:sz w:val="18"/>
                <w:szCs w:val="18"/>
              </w:rPr>
              <w:t>Compare information from a variety of sources to form a decision or opinion</w:t>
            </w:r>
          </w:p>
          <w:p w:rsidR="00215086" w:rsidRPr="00215086" w:rsidRDefault="00215086" w:rsidP="0007255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15086">
              <w:rPr>
                <w:rFonts w:asciiTheme="minorHAnsi" w:hAnsiTheme="minorHAnsi" w:cstheme="minorHAnsi"/>
                <w:sz w:val="18"/>
                <w:szCs w:val="18"/>
              </w:rPr>
              <w:t>Develop and demonstrate leadership skills</w:t>
            </w:r>
          </w:p>
          <w:p w:rsidR="00215086" w:rsidRPr="00215086" w:rsidRDefault="00215086" w:rsidP="0007255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15086">
              <w:rPr>
                <w:rFonts w:asciiTheme="minorHAnsi" w:hAnsiTheme="minorHAnsi" w:cstheme="minorHAnsi"/>
                <w:sz w:val="18"/>
                <w:szCs w:val="18"/>
              </w:rPr>
              <w:t xml:space="preserve">Model active engagement and contribute to the success of organizations </w:t>
            </w:r>
          </w:p>
        </w:tc>
      </w:tr>
      <w:tr w:rsidR="00215086" w:rsidRPr="00215086" w:rsidTr="00215086">
        <w:tc>
          <w:tcPr>
            <w:tcW w:w="2340" w:type="dxa"/>
          </w:tcPr>
          <w:p w:rsidR="00215086" w:rsidRPr="00215086" w:rsidRDefault="00215086" w:rsidP="0007255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15086">
              <w:rPr>
                <w:rFonts w:asciiTheme="minorHAnsi" w:hAnsiTheme="minorHAnsi" w:cstheme="minorHAnsi"/>
                <w:sz w:val="18"/>
                <w:szCs w:val="18"/>
              </w:rPr>
              <w:t>Cultural Competence, Diversity</w:t>
            </w:r>
          </w:p>
        </w:tc>
        <w:tc>
          <w:tcPr>
            <w:tcW w:w="7128" w:type="dxa"/>
          </w:tcPr>
          <w:p w:rsidR="00215086" w:rsidRPr="00215086" w:rsidRDefault="00215086" w:rsidP="0007255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15086">
              <w:rPr>
                <w:rFonts w:asciiTheme="minorHAnsi" w:hAnsiTheme="minorHAnsi" w:cstheme="minorHAnsi"/>
                <w:sz w:val="18"/>
                <w:szCs w:val="18"/>
              </w:rPr>
              <w:t>Associate how one’s identity and culture shape one’s perspective</w:t>
            </w:r>
          </w:p>
          <w:p w:rsidR="00215086" w:rsidRPr="00215086" w:rsidRDefault="00215086" w:rsidP="0007255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15086">
              <w:rPr>
                <w:rFonts w:asciiTheme="minorHAnsi" w:hAnsiTheme="minorHAnsi" w:cstheme="minorHAnsi"/>
                <w:sz w:val="18"/>
                <w:szCs w:val="18"/>
              </w:rPr>
              <w:t>Analyze the advantages and challenges of diverse society</w:t>
            </w:r>
          </w:p>
          <w:p w:rsidR="00215086" w:rsidRPr="00215086" w:rsidRDefault="00215086" w:rsidP="0007255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15086">
              <w:rPr>
                <w:rFonts w:asciiTheme="minorHAnsi" w:hAnsiTheme="minorHAnsi" w:cstheme="minorHAnsi"/>
                <w:sz w:val="18"/>
                <w:szCs w:val="18"/>
              </w:rPr>
              <w:t>Demonstrate an effort to understand the ideas, values, and beliefs of others; be open to difference</w:t>
            </w:r>
          </w:p>
          <w:p w:rsidR="00215086" w:rsidRPr="00215086" w:rsidRDefault="00215086" w:rsidP="0007255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15086">
              <w:rPr>
                <w:rFonts w:asciiTheme="minorHAnsi" w:hAnsiTheme="minorHAnsi" w:cstheme="minorHAnsi"/>
                <w:sz w:val="18"/>
                <w:szCs w:val="18"/>
              </w:rPr>
              <w:t>Develop multicultural competence through establishment of intercultural relationships</w:t>
            </w:r>
          </w:p>
          <w:p w:rsidR="00215086" w:rsidRPr="00215086" w:rsidRDefault="00215086" w:rsidP="0007255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15086">
              <w:rPr>
                <w:rFonts w:asciiTheme="minorHAnsi" w:hAnsiTheme="minorHAnsi" w:cstheme="minorHAnsi"/>
                <w:sz w:val="18"/>
                <w:szCs w:val="18"/>
              </w:rPr>
              <w:t>Seek involvement in diverse interests and with people different from oneself</w:t>
            </w:r>
          </w:p>
        </w:tc>
      </w:tr>
      <w:tr w:rsidR="00215086" w:rsidRPr="00215086" w:rsidTr="00215086">
        <w:tc>
          <w:tcPr>
            <w:tcW w:w="2340" w:type="dxa"/>
          </w:tcPr>
          <w:p w:rsidR="00215086" w:rsidRPr="00215086" w:rsidRDefault="00215086" w:rsidP="0007255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15086">
              <w:rPr>
                <w:rFonts w:asciiTheme="minorHAnsi" w:hAnsiTheme="minorHAnsi" w:cstheme="minorHAnsi"/>
                <w:sz w:val="18"/>
                <w:szCs w:val="18"/>
              </w:rPr>
              <w:t>Social Responsibility, Citizenship</w:t>
            </w:r>
          </w:p>
        </w:tc>
        <w:tc>
          <w:tcPr>
            <w:tcW w:w="7128" w:type="dxa"/>
          </w:tcPr>
          <w:p w:rsidR="00215086" w:rsidRPr="00215086" w:rsidRDefault="00215086" w:rsidP="0007255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15086">
              <w:rPr>
                <w:rFonts w:asciiTheme="minorHAnsi" w:hAnsiTheme="minorHAnsi" w:cstheme="minorHAnsi"/>
                <w:sz w:val="18"/>
                <w:szCs w:val="18"/>
              </w:rPr>
              <w:t xml:space="preserve">Demonstrate an awareness of issues and events that have an impact on people at local, state, national, </w:t>
            </w:r>
          </w:p>
          <w:p w:rsidR="00215086" w:rsidRPr="00215086" w:rsidRDefault="00215086" w:rsidP="0007255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15086">
              <w:rPr>
                <w:rFonts w:asciiTheme="minorHAnsi" w:hAnsiTheme="minorHAnsi" w:cstheme="minorHAnsi"/>
                <w:sz w:val="18"/>
                <w:szCs w:val="18"/>
              </w:rPr>
              <w:t xml:space="preserve">        and global levels</w:t>
            </w:r>
          </w:p>
          <w:p w:rsidR="00215086" w:rsidRPr="00215086" w:rsidRDefault="00215086" w:rsidP="0007255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15086">
              <w:rPr>
                <w:rFonts w:asciiTheme="minorHAnsi" w:hAnsiTheme="minorHAnsi" w:cstheme="minorHAnsi"/>
                <w:sz w:val="18"/>
                <w:szCs w:val="18"/>
              </w:rPr>
              <w:t xml:space="preserve">Demonstrate an understanding of the consequences for one’s actions on local, state, national, and global       </w:t>
            </w:r>
          </w:p>
          <w:p w:rsidR="00215086" w:rsidRPr="00215086" w:rsidRDefault="00215086" w:rsidP="0007255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15086">
              <w:rPr>
                <w:rFonts w:asciiTheme="minorHAnsi" w:hAnsiTheme="minorHAnsi" w:cstheme="minorHAnsi"/>
                <w:sz w:val="18"/>
                <w:szCs w:val="18"/>
              </w:rPr>
              <w:t xml:space="preserve">        levels</w:t>
            </w:r>
          </w:p>
          <w:p w:rsidR="00215086" w:rsidRPr="00215086" w:rsidRDefault="00215086" w:rsidP="0007255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15086">
              <w:rPr>
                <w:rFonts w:asciiTheme="minorHAnsi" w:hAnsiTheme="minorHAnsi" w:cstheme="minorHAnsi"/>
                <w:sz w:val="18"/>
                <w:szCs w:val="18"/>
              </w:rPr>
              <w:t xml:space="preserve">Develop an understanding of and commitment to developing positive change </w:t>
            </w:r>
          </w:p>
          <w:p w:rsidR="00215086" w:rsidRPr="00215086" w:rsidRDefault="00215086" w:rsidP="0007255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15086">
              <w:rPr>
                <w:rFonts w:asciiTheme="minorHAnsi" w:hAnsiTheme="minorHAnsi" w:cstheme="minorHAnsi"/>
                <w:sz w:val="18"/>
                <w:szCs w:val="18"/>
              </w:rPr>
              <w:t>Appropriately challenge the unfair, unjust, or uncivil behavior of other individuals or groups</w:t>
            </w:r>
          </w:p>
        </w:tc>
      </w:tr>
      <w:tr w:rsidR="00215086" w:rsidRPr="00215086" w:rsidTr="00215086">
        <w:tc>
          <w:tcPr>
            <w:tcW w:w="2340" w:type="dxa"/>
          </w:tcPr>
          <w:p w:rsidR="00215086" w:rsidRPr="00215086" w:rsidRDefault="00215086" w:rsidP="0007255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15086">
              <w:rPr>
                <w:rFonts w:asciiTheme="minorHAnsi" w:hAnsiTheme="minorHAnsi" w:cstheme="minorHAnsi"/>
                <w:sz w:val="18"/>
                <w:szCs w:val="18"/>
              </w:rPr>
              <w:t>Collaboration and Negotiation</w:t>
            </w:r>
          </w:p>
        </w:tc>
        <w:tc>
          <w:tcPr>
            <w:tcW w:w="7128" w:type="dxa"/>
          </w:tcPr>
          <w:p w:rsidR="00215086" w:rsidRPr="00215086" w:rsidRDefault="00215086" w:rsidP="0007255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15086">
              <w:rPr>
                <w:rFonts w:asciiTheme="minorHAnsi" w:hAnsiTheme="minorHAnsi" w:cstheme="minorHAnsi"/>
                <w:sz w:val="18"/>
                <w:szCs w:val="18"/>
              </w:rPr>
              <w:t>Work cooperatively with others</w:t>
            </w:r>
          </w:p>
          <w:p w:rsidR="00215086" w:rsidRPr="00215086" w:rsidRDefault="00215086" w:rsidP="0007255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15086">
              <w:rPr>
                <w:rFonts w:asciiTheme="minorHAnsi" w:hAnsiTheme="minorHAnsi" w:cstheme="minorHAnsi"/>
                <w:sz w:val="18"/>
                <w:szCs w:val="18"/>
              </w:rPr>
              <w:t>Contribute to achievement of group goals or shared vision</w:t>
            </w:r>
          </w:p>
          <w:p w:rsidR="00215086" w:rsidRPr="00215086" w:rsidRDefault="00215086" w:rsidP="0007255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15086">
              <w:rPr>
                <w:rFonts w:asciiTheme="minorHAnsi" w:hAnsiTheme="minorHAnsi" w:cstheme="minorHAnsi"/>
                <w:sz w:val="18"/>
                <w:szCs w:val="18"/>
              </w:rPr>
              <w:t>Employ conflict resolution and mediation strategies</w:t>
            </w:r>
          </w:p>
          <w:p w:rsidR="00215086" w:rsidRPr="00215086" w:rsidRDefault="00215086" w:rsidP="0007255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15086">
              <w:rPr>
                <w:rFonts w:asciiTheme="minorHAnsi" w:hAnsiTheme="minorHAnsi" w:cstheme="minorHAnsi"/>
                <w:sz w:val="18"/>
                <w:szCs w:val="18"/>
              </w:rPr>
              <w:t>Interpret individual and group dynamics</w:t>
            </w:r>
          </w:p>
        </w:tc>
      </w:tr>
      <w:tr w:rsidR="00215086" w:rsidRPr="00215086" w:rsidTr="00215086">
        <w:tc>
          <w:tcPr>
            <w:tcW w:w="2340" w:type="dxa"/>
          </w:tcPr>
          <w:p w:rsidR="00215086" w:rsidRPr="00215086" w:rsidRDefault="00215086" w:rsidP="0007255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15086">
              <w:rPr>
                <w:rFonts w:asciiTheme="minorHAnsi" w:hAnsiTheme="minorHAnsi" w:cstheme="minorHAnsi"/>
                <w:sz w:val="18"/>
                <w:szCs w:val="18"/>
              </w:rPr>
              <w:t>Self-Awareness, Wellness</w:t>
            </w:r>
          </w:p>
        </w:tc>
        <w:tc>
          <w:tcPr>
            <w:tcW w:w="7128" w:type="dxa"/>
          </w:tcPr>
          <w:p w:rsidR="00215086" w:rsidRPr="00215086" w:rsidRDefault="00215086" w:rsidP="0007255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15086">
              <w:rPr>
                <w:rFonts w:asciiTheme="minorHAnsi" w:hAnsiTheme="minorHAnsi" w:cstheme="minorHAnsi"/>
                <w:sz w:val="18"/>
                <w:szCs w:val="18"/>
              </w:rPr>
              <w:t>Assess personal strengths and weaknesses</w:t>
            </w:r>
          </w:p>
          <w:p w:rsidR="00215086" w:rsidRPr="00215086" w:rsidRDefault="00215086" w:rsidP="0007255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15086">
              <w:rPr>
                <w:rFonts w:asciiTheme="minorHAnsi" w:hAnsiTheme="minorHAnsi" w:cstheme="minorHAnsi"/>
                <w:sz w:val="18"/>
                <w:szCs w:val="18"/>
              </w:rPr>
              <w:t>Determine and clarify personal values</w:t>
            </w:r>
          </w:p>
          <w:p w:rsidR="00215086" w:rsidRPr="00215086" w:rsidRDefault="00215086" w:rsidP="0007255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15086">
              <w:rPr>
                <w:rFonts w:asciiTheme="minorHAnsi" w:hAnsiTheme="minorHAnsi" w:cstheme="minorHAnsi"/>
                <w:sz w:val="18"/>
                <w:szCs w:val="18"/>
              </w:rPr>
              <w:t xml:space="preserve">Balance participation between personal life and academic and career endeavors </w:t>
            </w:r>
          </w:p>
          <w:p w:rsidR="00215086" w:rsidRPr="00215086" w:rsidRDefault="00215086" w:rsidP="0007255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15086">
              <w:rPr>
                <w:rFonts w:asciiTheme="minorHAnsi" w:hAnsiTheme="minorHAnsi" w:cstheme="minorHAnsi"/>
                <w:sz w:val="18"/>
                <w:szCs w:val="18"/>
              </w:rPr>
              <w:t>Explore and apply dimensions of wellness across the lifespan</w:t>
            </w:r>
          </w:p>
        </w:tc>
      </w:tr>
    </w:tbl>
    <w:p w:rsidR="000824A2" w:rsidRDefault="000824A2" w:rsidP="005C50CD">
      <w:pPr>
        <w:pStyle w:val="NoSpacing"/>
        <w:jc w:val="center"/>
      </w:pPr>
    </w:p>
    <w:p w:rsidR="005C50CD" w:rsidRDefault="000824A2" w:rsidP="000824A2">
      <w:pPr>
        <w:pStyle w:val="NoSpacing"/>
      </w:pPr>
      <w:r>
        <w:t xml:space="preserve">The Divisional </w:t>
      </w:r>
      <w:r w:rsidRPr="00663CD8">
        <w:rPr>
          <w:b/>
        </w:rPr>
        <w:t>commitment to assessment</w:t>
      </w:r>
      <w:r>
        <w:t xml:space="preserve"> is approached by the various Student Affairs Units through evaluation and assessment of </w:t>
      </w:r>
      <w:r w:rsidRPr="000824A2">
        <w:rPr>
          <w:u w:val="single"/>
        </w:rPr>
        <w:t>Learning Outcomes</w:t>
      </w:r>
      <w:r>
        <w:t xml:space="preserve"> and/or </w:t>
      </w:r>
      <w:r w:rsidRPr="000824A2">
        <w:rPr>
          <w:u w:val="single"/>
        </w:rPr>
        <w:t>Key Performance Indicators (KPI’s</w:t>
      </w:r>
      <w:r>
        <w:t>).  Intentional programming or delivery of services follow the philosophy of Yogi Berra, “If you don’t know where you’re going, you’ll wind up somewhere else.”</w:t>
      </w:r>
      <w:r w:rsidR="00663CD8">
        <w:t xml:space="preserve"> Therefore, e</w:t>
      </w:r>
      <w:r>
        <w:t xml:space="preserve">ach Student Affairs Unit has an established mission and/or purpose statement that support the Divisional Mission </w:t>
      </w:r>
      <w:r w:rsidR="00663CD8">
        <w:t>as well as</w:t>
      </w:r>
      <w:r>
        <w:t xml:space="preserve"> the University Mission</w:t>
      </w:r>
      <w:r w:rsidR="00415D4F">
        <w:t>.</w:t>
      </w:r>
      <w:r>
        <w:t xml:space="preserve"> </w:t>
      </w:r>
      <w:r w:rsidR="00663CD8">
        <w:t xml:space="preserve"> To provide specific</w:t>
      </w:r>
      <w:r w:rsidR="00415D4F">
        <w:t xml:space="preserve">, documented </w:t>
      </w:r>
      <w:r w:rsidR="00663CD8">
        <w:t>support to the Mission, the Long Range Plan and the accrediting initiatives, each unit has a purposeful assessment plan approved by the respective members of the Vice President of Student Affairs direct reports (see organizational chart).</w:t>
      </w:r>
    </w:p>
    <w:sectPr w:rsidR="005C50CD" w:rsidSect="00215086">
      <w:pgSz w:w="12240" w:h="15840"/>
      <w:pgMar w:top="72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086" w:rsidRDefault="00215086" w:rsidP="00215086">
      <w:r>
        <w:separator/>
      </w:r>
    </w:p>
  </w:endnote>
  <w:endnote w:type="continuationSeparator" w:id="0">
    <w:p w:rsidR="00215086" w:rsidRDefault="00215086" w:rsidP="00215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086" w:rsidRDefault="00215086" w:rsidP="00215086">
      <w:r>
        <w:separator/>
      </w:r>
    </w:p>
  </w:footnote>
  <w:footnote w:type="continuationSeparator" w:id="0">
    <w:p w:rsidR="00215086" w:rsidRDefault="00215086" w:rsidP="002150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0CD"/>
    <w:rsid w:val="000824A2"/>
    <w:rsid w:val="00215086"/>
    <w:rsid w:val="002E0946"/>
    <w:rsid w:val="00415D4F"/>
    <w:rsid w:val="004F6E47"/>
    <w:rsid w:val="005C50CD"/>
    <w:rsid w:val="00653CD2"/>
    <w:rsid w:val="00663CD8"/>
    <w:rsid w:val="00BE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73C078-926F-4FC9-B63F-97EA40B14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086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50CD"/>
    <w:pPr>
      <w:spacing w:after="0" w:line="240" w:lineRule="auto"/>
    </w:pPr>
  </w:style>
  <w:style w:type="table" w:styleId="TableGrid">
    <w:name w:val="Table Grid"/>
    <w:basedOn w:val="TableNormal"/>
    <w:uiPriority w:val="59"/>
    <w:rsid w:val="00215086"/>
    <w:pPr>
      <w:spacing w:after="0" w:line="240" w:lineRule="auto"/>
    </w:pPr>
    <w:rPr>
      <w:rFonts w:ascii="Times New Roman" w:hAnsi="Times New Roman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50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5086"/>
    <w:rPr>
      <w:rFonts w:ascii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150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5086"/>
    <w:rPr>
      <w:rFonts w:ascii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3662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efd4321</dc:creator>
  <cp:lastModifiedBy>Jones, Peggy S</cp:lastModifiedBy>
  <cp:revision>2</cp:revision>
  <dcterms:created xsi:type="dcterms:W3CDTF">2015-05-13T20:46:00Z</dcterms:created>
  <dcterms:modified xsi:type="dcterms:W3CDTF">2015-05-13T20:46:00Z</dcterms:modified>
</cp:coreProperties>
</file>